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CC5D834"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3142F1">
        <w:rPr>
          <w:rFonts w:cs="B Mitra" w:hint="cs"/>
          <w:b/>
          <w:bCs/>
          <w:sz w:val="32"/>
          <w:szCs w:val="32"/>
          <w:rtl/>
          <w:lang w:bidi="fa-IR"/>
        </w:rPr>
        <w:t>6</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993B9E4" w14:textId="77D67171"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گفتيم که مدعای محقق با مدعای شيخ در نهايه متفاوت است، و تفاوت آنها در اين است که محقق در نافع، قائل شده است که امر به بعث حَکَم، اولاً متوجه زوجين است و در صورتی که امتناع کردند، متوجه حاکم می</w:t>
      </w:r>
      <w:r>
        <w:rPr>
          <w:rFonts w:cs="Abz-2 (Badr)"/>
          <w:sz w:val="28"/>
          <w:szCs w:val="28"/>
          <w:rtl/>
          <w:lang w:bidi="fa-IR"/>
        </w:rPr>
        <w:softHyphen/>
      </w:r>
      <w:r>
        <w:rPr>
          <w:rFonts w:cs="Abz-2 (Badr)" w:hint="cs"/>
          <w:sz w:val="28"/>
          <w:szCs w:val="28"/>
          <w:rtl/>
          <w:lang w:bidi="fa-IR"/>
        </w:rPr>
        <w:t>گردد، در حالی که ظاهر آيه اين نيست، بلکه همان گونه که گفتيم ظاهر آن اين است که امر متوجه عامه مؤمنينی است که از وجود خلاف و نزاع در بين زوجين اطلاعی دارند، اما اقدام خود زوجين نيز به همان جهتی که گذشت، منافاتی با اين مطلب ندارد هرچند همان گونه که گذشت، امر شامل خود آنان نمی</w:t>
      </w:r>
      <w:r>
        <w:rPr>
          <w:rFonts w:cs="Abz-2 (Badr)"/>
          <w:sz w:val="28"/>
          <w:szCs w:val="28"/>
          <w:rtl/>
          <w:lang w:bidi="fa-IR"/>
        </w:rPr>
        <w:softHyphen/>
      </w:r>
      <w:r>
        <w:rPr>
          <w:rFonts w:cs="Abz-2 (Badr)" w:hint="cs"/>
          <w:sz w:val="28"/>
          <w:szCs w:val="28"/>
          <w:rtl/>
          <w:lang w:bidi="fa-IR"/>
        </w:rPr>
        <w:t>شود.</w:t>
      </w:r>
    </w:p>
    <w:p w14:paraId="134F56F8"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بلکه می</w:t>
      </w:r>
      <w:r>
        <w:rPr>
          <w:rFonts w:cs="Abz-2 (Badr)"/>
          <w:sz w:val="28"/>
          <w:szCs w:val="28"/>
          <w:rtl/>
          <w:lang w:bidi="fa-IR"/>
        </w:rPr>
        <w:softHyphen/>
      </w:r>
      <w:r>
        <w:rPr>
          <w:rFonts w:cs="Abz-2 (Badr)" w:hint="cs"/>
          <w:sz w:val="28"/>
          <w:szCs w:val="28"/>
          <w:rtl/>
          <w:lang w:bidi="fa-IR"/>
        </w:rPr>
        <w:t>توان گفت: چون فرض آيه در جايی است که بين زوجين شقاقی وجود داشته باشد و شقاق همان گونه که در معنای آن گذشت، در جايی است که برای نزاع بين زوجين بدون اخالت افراد ديگر راه حلی وجود نداشته باشد، چنانچه خود زوجين برای حل نزاع به حکم مراجعه کردند، اين مورد تخصّصاً خارج از مورد آيه است.</w:t>
      </w:r>
    </w:p>
    <w:p w14:paraId="65C81439"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با توجه به مطالب سابق، پاسخ اشکال صاحب جواهر به بعث حکم توسط غير حاکم نيز آشکار می</w:t>
      </w:r>
      <w:r>
        <w:rPr>
          <w:rFonts w:cs="Abz-2 (Badr)"/>
          <w:sz w:val="28"/>
          <w:szCs w:val="28"/>
          <w:rtl/>
          <w:lang w:bidi="fa-IR"/>
        </w:rPr>
        <w:softHyphen/>
      </w:r>
      <w:r>
        <w:rPr>
          <w:rFonts w:cs="Abz-2 (Badr)" w:hint="cs"/>
          <w:sz w:val="28"/>
          <w:szCs w:val="28"/>
          <w:rtl/>
          <w:lang w:bidi="fa-IR"/>
        </w:rPr>
        <w:t>شود.</w:t>
      </w:r>
    </w:p>
    <w:p w14:paraId="47BCCE62" w14:textId="77777777" w:rsidR="003142F1" w:rsidRPr="00370A5C" w:rsidRDefault="003142F1" w:rsidP="001524E3">
      <w:pPr>
        <w:pStyle w:val="NormalWeb"/>
        <w:widowControl w:val="0"/>
        <w:bidi/>
        <w:spacing w:before="0" w:beforeAutospacing="0" w:after="0" w:afterAutospacing="0" w:line="262" w:lineRule="auto"/>
        <w:ind w:firstLine="284"/>
        <w:jc w:val="both"/>
        <w:rPr>
          <w:rFonts w:cs="Abz-2 (Badr)"/>
          <w:color w:val="0070C0"/>
          <w:sz w:val="28"/>
          <w:szCs w:val="28"/>
          <w:rtl/>
          <w:lang w:bidi="ar"/>
        </w:rPr>
      </w:pPr>
      <w:r>
        <w:rPr>
          <w:rFonts w:cs="Abz-2 (Badr)" w:hint="cs"/>
          <w:sz w:val="28"/>
          <w:szCs w:val="28"/>
          <w:rtl/>
          <w:lang w:bidi="fa-IR"/>
        </w:rPr>
        <w:t>ايشان در اين خصوص می</w:t>
      </w:r>
      <w:r>
        <w:rPr>
          <w:rFonts w:cs="Abz-2 (Badr)"/>
          <w:sz w:val="28"/>
          <w:szCs w:val="28"/>
          <w:rtl/>
          <w:lang w:bidi="fa-IR"/>
        </w:rPr>
        <w:softHyphen/>
      </w:r>
      <w:r>
        <w:rPr>
          <w:rFonts w:cs="Abz-2 (Badr)" w:hint="cs"/>
          <w:sz w:val="28"/>
          <w:szCs w:val="28"/>
          <w:rtl/>
          <w:lang w:bidi="fa-IR"/>
        </w:rPr>
        <w:t xml:space="preserve">فرمايد: </w:t>
      </w:r>
      <w:r w:rsidRPr="00370A5C">
        <w:rPr>
          <w:rFonts w:cs="Abz-2 (Badr)" w:hint="cs"/>
          <w:color w:val="0070C0"/>
          <w:sz w:val="28"/>
          <w:szCs w:val="28"/>
          <w:rtl/>
          <w:lang w:bidi="fa-IR"/>
        </w:rPr>
        <w:t>«</w:t>
      </w:r>
      <w:r w:rsidRPr="00370A5C">
        <w:rPr>
          <w:rFonts w:cs="Abz-2 (Badr)"/>
          <w:color w:val="0070C0"/>
          <w:sz w:val="28"/>
          <w:szCs w:val="28"/>
          <w:rtl/>
          <w:lang w:bidi="ar"/>
        </w:rPr>
        <w:t>قد يناقش بإمكان منع بعث الزوجين حكمين والأهلين على وجه يترت</w:t>
      </w:r>
      <w:r w:rsidRPr="00370A5C">
        <w:rPr>
          <w:rFonts w:cs="Abz-2 (Badr)" w:hint="cs"/>
          <w:color w:val="0070C0"/>
          <w:sz w:val="28"/>
          <w:szCs w:val="28"/>
          <w:rtl/>
          <w:lang w:bidi="ar"/>
        </w:rPr>
        <w:t>ّ</w:t>
      </w:r>
      <w:r w:rsidRPr="00370A5C">
        <w:rPr>
          <w:rFonts w:cs="Abz-2 (Badr)"/>
          <w:color w:val="0070C0"/>
          <w:sz w:val="28"/>
          <w:szCs w:val="28"/>
          <w:rtl/>
          <w:lang w:bidi="ar"/>
        </w:rPr>
        <w:t>ب عليه إمضاء حكمهما عليهما بالصلح وإن لم يرضيا</w:t>
      </w:r>
      <w:r w:rsidRPr="00370A5C">
        <w:rPr>
          <w:rFonts w:cs="Abz-2 (Badr)" w:hint="cs"/>
          <w:color w:val="0070C0"/>
          <w:sz w:val="28"/>
          <w:szCs w:val="28"/>
          <w:rtl/>
          <w:lang w:bidi="ar"/>
        </w:rPr>
        <w:t>،</w:t>
      </w:r>
      <w:r w:rsidRPr="00370A5C">
        <w:rPr>
          <w:rFonts w:cs="Abz-2 (Badr)"/>
          <w:color w:val="0070C0"/>
          <w:sz w:val="28"/>
          <w:szCs w:val="28"/>
          <w:rtl/>
          <w:lang w:bidi="ar"/>
        </w:rPr>
        <w:t xml:space="preserve"> بناء</w:t>
      </w:r>
      <w:r w:rsidRPr="00370A5C">
        <w:rPr>
          <w:rFonts w:cs="Abz-2 (Badr)" w:hint="cs"/>
          <w:color w:val="0070C0"/>
          <w:sz w:val="28"/>
          <w:szCs w:val="28"/>
          <w:rtl/>
          <w:lang w:bidi="ar"/>
        </w:rPr>
        <w:t>ً</w:t>
      </w:r>
      <w:r w:rsidRPr="00370A5C">
        <w:rPr>
          <w:rFonts w:cs="Abz-2 (Badr)"/>
          <w:color w:val="0070C0"/>
          <w:sz w:val="28"/>
          <w:szCs w:val="28"/>
          <w:rtl/>
          <w:lang w:bidi="ar"/>
        </w:rPr>
        <w:t xml:space="preserve"> على اختصاص الخطاب في الآية للحك</w:t>
      </w:r>
      <w:r w:rsidRPr="00370A5C">
        <w:rPr>
          <w:rFonts w:cs="Abz-2 (Badr)" w:hint="cs"/>
          <w:color w:val="0070C0"/>
          <w:sz w:val="28"/>
          <w:szCs w:val="28"/>
          <w:rtl/>
          <w:lang w:bidi="ar"/>
        </w:rPr>
        <w:t>ّ</w:t>
      </w:r>
      <w:r w:rsidRPr="00370A5C">
        <w:rPr>
          <w:rFonts w:cs="Abz-2 (Badr)"/>
          <w:color w:val="0070C0"/>
          <w:sz w:val="28"/>
          <w:szCs w:val="28"/>
          <w:rtl/>
          <w:lang w:bidi="ar"/>
        </w:rPr>
        <w:t>ام، لعدم دليل حينئذ</w:t>
      </w:r>
      <w:r w:rsidRPr="00370A5C">
        <w:rPr>
          <w:rFonts w:cs="Abz-2 (Badr)" w:hint="cs"/>
          <w:color w:val="0070C0"/>
          <w:sz w:val="28"/>
          <w:szCs w:val="28"/>
          <w:rtl/>
          <w:lang w:bidi="ar"/>
        </w:rPr>
        <w:t>ٍ</w:t>
      </w:r>
      <w:r w:rsidRPr="00370A5C">
        <w:rPr>
          <w:rFonts w:cs="Abz-2 (Badr)"/>
          <w:color w:val="0070C0"/>
          <w:sz w:val="28"/>
          <w:szCs w:val="28"/>
          <w:rtl/>
          <w:lang w:bidi="ar"/>
        </w:rPr>
        <w:t xml:space="preserve"> على ذلك، وكذا الكلام في العكس، وهذا ونحوه أحد ثمرات الخلاف في المسألة.</w:t>
      </w:r>
      <w:r w:rsidRPr="00370A5C">
        <w:rPr>
          <w:rFonts w:cs="Abz-2 (Badr)" w:hint="cs"/>
          <w:color w:val="0070C0"/>
          <w:sz w:val="28"/>
          <w:szCs w:val="28"/>
          <w:rtl/>
          <w:lang w:bidi="ar"/>
        </w:rPr>
        <w:t>»</w:t>
      </w:r>
      <w:r w:rsidRPr="009F6447">
        <w:rPr>
          <w:rFonts w:cs="Abz-2 (Badr)"/>
          <w:sz w:val="28"/>
          <w:szCs w:val="28"/>
          <w:vertAlign w:val="superscript"/>
          <w:rtl/>
          <w:lang w:bidi="fa-IR"/>
        </w:rPr>
        <w:footnoteReference w:id="1"/>
      </w:r>
    </w:p>
    <w:p w14:paraId="31467339"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lastRenderedPageBreak/>
        <w:t>پاسخ اين است که همان گونه که در اخبار سابق گذشت، کسی که به عنوان حکم انتخاب می</w:t>
      </w:r>
      <w:r>
        <w:rPr>
          <w:rFonts w:cs="Abz-2 (Badr)"/>
          <w:sz w:val="28"/>
          <w:szCs w:val="28"/>
          <w:rtl/>
          <w:lang w:bidi="fa-IR"/>
        </w:rPr>
        <w:softHyphen/>
      </w:r>
      <w:r>
        <w:rPr>
          <w:rFonts w:cs="Abz-2 (Badr)" w:hint="cs"/>
          <w:sz w:val="28"/>
          <w:szCs w:val="28"/>
          <w:rtl/>
          <w:lang w:bidi="fa-IR"/>
        </w:rPr>
        <w:t>شود، قبل از حکم با زوجين شرط می</w:t>
      </w:r>
      <w:r>
        <w:rPr>
          <w:rFonts w:cs="Abz-2 (Badr)"/>
          <w:sz w:val="28"/>
          <w:szCs w:val="28"/>
          <w:rtl/>
          <w:lang w:bidi="fa-IR"/>
        </w:rPr>
        <w:softHyphen/>
      </w:r>
      <w:r>
        <w:rPr>
          <w:rFonts w:cs="Abz-2 (Badr)" w:hint="cs"/>
          <w:sz w:val="28"/>
          <w:szCs w:val="28"/>
          <w:rtl/>
          <w:lang w:bidi="fa-IR"/>
        </w:rPr>
        <w:t>کند که هر حکمی کرد، در حق آنان نافذ باشد و در نتيجه حکم وی، حکم قاضی تحکيم خواهد بود که در تنفيذ آن نيازی به بعث از جانب حاکم شرع وجود ندارد.</w:t>
      </w:r>
    </w:p>
    <w:p w14:paraId="76BF2194"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sidRPr="00C527CF">
        <w:rPr>
          <w:rFonts w:cs="Abz-2 (Badr)" w:hint="cs"/>
          <w:color w:val="FF0000"/>
          <w:sz w:val="28"/>
          <w:szCs w:val="28"/>
          <w:rtl/>
          <w:lang w:bidi="fa-IR"/>
        </w:rPr>
        <w:t xml:space="preserve">نکته چهارم: </w:t>
      </w:r>
      <w:r>
        <w:rPr>
          <w:rFonts w:cs="Abz-2 (Badr)" w:hint="cs"/>
          <w:sz w:val="28"/>
          <w:szCs w:val="28"/>
          <w:rtl/>
          <w:lang w:bidi="fa-IR"/>
        </w:rPr>
        <w:t>آيا کسانی که بعث می</w:t>
      </w:r>
      <w:r>
        <w:rPr>
          <w:rFonts w:cs="Abz-2 (Badr)"/>
          <w:sz w:val="28"/>
          <w:szCs w:val="28"/>
          <w:rtl/>
          <w:lang w:bidi="fa-IR"/>
        </w:rPr>
        <w:softHyphen/>
      </w:r>
      <w:r>
        <w:rPr>
          <w:rFonts w:cs="Abz-2 (Badr)" w:hint="cs"/>
          <w:sz w:val="28"/>
          <w:szCs w:val="28"/>
          <w:rtl/>
          <w:lang w:bidi="fa-IR"/>
        </w:rPr>
        <w:t>شوند، حَکَم هستند يا وکيل زوجين؟</w:t>
      </w:r>
    </w:p>
    <w:p w14:paraId="1D781CBC" w14:textId="77777777" w:rsidR="003142F1" w:rsidRPr="00C527CF"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شيخ در مبسوط می</w:t>
      </w:r>
      <w:r>
        <w:rPr>
          <w:rFonts w:cs="Abz-2 (Badr)"/>
          <w:sz w:val="28"/>
          <w:szCs w:val="28"/>
          <w:rtl/>
          <w:lang w:bidi="fa-IR"/>
        </w:rPr>
        <w:softHyphen/>
      </w:r>
      <w:r>
        <w:rPr>
          <w:rFonts w:cs="Abz-2 (Badr)" w:hint="cs"/>
          <w:sz w:val="28"/>
          <w:szCs w:val="28"/>
          <w:rtl/>
          <w:lang w:bidi="fa-IR"/>
        </w:rPr>
        <w:t xml:space="preserve">فرمايد: </w:t>
      </w:r>
      <w:r w:rsidRPr="00C527CF">
        <w:rPr>
          <w:rFonts w:cs="Abz-2 (Badr)" w:hint="cs"/>
          <w:color w:val="0070C0"/>
          <w:sz w:val="28"/>
          <w:szCs w:val="28"/>
          <w:rtl/>
          <w:lang w:bidi="fa-IR"/>
        </w:rPr>
        <w:t>«</w:t>
      </w:r>
      <w:r w:rsidRPr="00C527CF">
        <w:rPr>
          <w:rFonts w:cs="Abz-2 (Badr)"/>
          <w:color w:val="0070C0"/>
          <w:sz w:val="28"/>
          <w:szCs w:val="28"/>
          <w:rtl/>
          <w:lang w:bidi="ar"/>
        </w:rPr>
        <w:t>الذي يقتضيه مذهبنا أن</w:t>
      </w:r>
      <w:r w:rsidRPr="00C527CF">
        <w:rPr>
          <w:rFonts w:cs="Abz-2 (Badr)" w:hint="cs"/>
          <w:color w:val="0070C0"/>
          <w:sz w:val="28"/>
          <w:szCs w:val="28"/>
          <w:rtl/>
          <w:lang w:bidi="ar"/>
        </w:rPr>
        <w:t>ّ</w:t>
      </w:r>
      <w:r w:rsidRPr="00C527CF">
        <w:rPr>
          <w:rFonts w:cs="Abz-2 (Badr)"/>
          <w:color w:val="0070C0"/>
          <w:sz w:val="28"/>
          <w:szCs w:val="28"/>
          <w:rtl/>
          <w:lang w:bidi="ar"/>
        </w:rPr>
        <w:t xml:space="preserve"> ذلك ح</w:t>
      </w:r>
      <w:r w:rsidRPr="00C527CF">
        <w:rPr>
          <w:rFonts w:cs="Abz-2 (Badr)" w:hint="cs"/>
          <w:color w:val="0070C0"/>
          <w:sz w:val="28"/>
          <w:szCs w:val="28"/>
          <w:rtl/>
          <w:lang w:bidi="ar"/>
        </w:rPr>
        <w:t>ُ</w:t>
      </w:r>
      <w:r w:rsidRPr="00C527CF">
        <w:rPr>
          <w:rFonts w:cs="Abz-2 (Badr)"/>
          <w:color w:val="0070C0"/>
          <w:sz w:val="28"/>
          <w:szCs w:val="28"/>
          <w:rtl/>
          <w:lang w:bidi="ar"/>
        </w:rPr>
        <w:t>كم، لأن</w:t>
      </w:r>
      <w:r w:rsidRPr="00C527CF">
        <w:rPr>
          <w:rFonts w:cs="Abz-2 (Badr)" w:hint="cs"/>
          <w:color w:val="0070C0"/>
          <w:sz w:val="28"/>
          <w:szCs w:val="28"/>
          <w:rtl/>
          <w:lang w:bidi="ar"/>
        </w:rPr>
        <w:t>ّ</w:t>
      </w:r>
      <w:r w:rsidRPr="00C527CF">
        <w:rPr>
          <w:rFonts w:cs="Abz-2 (Badr)"/>
          <w:color w:val="0070C0"/>
          <w:sz w:val="28"/>
          <w:szCs w:val="28"/>
          <w:rtl/>
          <w:lang w:bidi="ar"/>
        </w:rPr>
        <w:t>هم رووا أن</w:t>
      </w:r>
      <w:r w:rsidRPr="00C527CF">
        <w:rPr>
          <w:rFonts w:cs="Abz-2 (Badr)" w:hint="cs"/>
          <w:color w:val="0070C0"/>
          <w:sz w:val="28"/>
          <w:szCs w:val="28"/>
          <w:rtl/>
          <w:lang w:bidi="ar"/>
        </w:rPr>
        <w:t>ّ</w:t>
      </w:r>
      <w:r w:rsidRPr="00C527CF">
        <w:rPr>
          <w:rFonts w:cs="Abz-2 (Badr)"/>
          <w:color w:val="0070C0"/>
          <w:sz w:val="28"/>
          <w:szCs w:val="28"/>
          <w:rtl/>
          <w:lang w:bidi="ar"/>
        </w:rPr>
        <w:t xml:space="preserve"> لهما الإصلاح من غير استيذان، وليس لهما الفرقة بالطلاق وغيره إلا بعد أن يستاذناهما، ولو كان توكيلا</w:t>
      </w:r>
      <w:r w:rsidRPr="00C527CF">
        <w:rPr>
          <w:rFonts w:cs="Abz-2 (Badr)" w:hint="cs"/>
          <w:color w:val="0070C0"/>
          <w:sz w:val="28"/>
          <w:szCs w:val="28"/>
          <w:rtl/>
          <w:lang w:bidi="ar"/>
        </w:rPr>
        <w:t>ً</w:t>
      </w:r>
      <w:r w:rsidRPr="00C527CF">
        <w:rPr>
          <w:rFonts w:cs="Abz-2 (Badr)"/>
          <w:color w:val="0070C0"/>
          <w:sz w:val="28"/>
          <w:szCs w:val="28"/>
          <w:rtl/>
          <w:lang w:bidi="ar"/>
        </w:rPr>
        <w:t xml:space="preserve"> لكان ذلك تابعا</w:t>
      </w:r>
      <w:r w:rsidRPr="00C527CF">
        <w:rPr>
          <w:rFonts w:cs="Abz-2 (Badr)" w:hint="cs"/>
          <w:color w:val="0070C0"/>
          <w:sz w:val="28"/>
          <w:szCs w:val="28"/>
          <w:rtl/>
          <w:lang w:bidi="ar"/>
        </w:rPr>
        <w:t>ً</w:t>
      </w:r>
      <w:r w:rsidRPr="00C527CF">
        <w:rPr>
          <w:rFonts w:cs="Abz-2 (Badr)"/>
          <w:color w:val="0070C0"/>
          <w:sz w:val="28"/>
          <w:szCs w:val="28"/>
          <w:rtl/>
          <w:lang w:bidi="ar"/>
        </w:rPr>
        <w:t xml:space="preserve"> للوكالة وبحسب شرطهما.</w:t>
      </w:r>
      <w:r w:rsidRPr="00C527CF">
        <w:rPr>
          <w:rFonts w:cs="Abz-2 (Badr)" w:hint="cs"/>
          <w:color w:val="0070C0"/>
          <w:sz w:val="28"/>
          <w:szCs w:val="28"/>
          <w:rtl/>
          <w:lang w:bidi="ar"/>
        </w:rPr>
        <w:t>»</w:t>
      </w:r>
      <w:r w:rsidRPr="009F6447">
        <w:rPr>
          <w:rFonts w:cs="Abz-2 (Badr)"/>
          <w:sz w:val="28"/>
          <w:szCs w:val="28"/>
          <w:vertAlign w:val="superscript"/>
          <w:rtl/>
          <w:lang w:bidi="fa-IR"/>
        </w:rPr>
        <w:footnoteReference w:id="2"/>
      </w:r>
    </w:p>
    <w:p w14:paraId="23F3166A"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اما در اخبار چنين مطلبی وجود ندارد که اگر حکم</w:t>
      </w:r>
      <w:r>
        <w:rPr>
          <w:rFonts w:cs="Abz-2 (Badr)"/>
          <w:sz w:val="28"/>
          <w:szCs w:val="28"/>
          <w:rtl/>
          <w:lang w:bidi="fa-IR"/>
        </w:rPr>
        <w:softHyphen/>
      </w:r>
      <w:r>
        <w:rPr>
          <w:rFonts w:cs="Abz-2 (Badr)" w:hint="cs"/>
          <w:sz w:val="28"/>
          <w:szCs w:val="28"/>
          <w:rtl/>
          <w:lang w:bidi="fa-IR"/>
        </w:rPr>
        <w:t>ها بدون استيذان امر به اصلاح کردند، بر زوجين اطاعت آن واجب باشد. بله در بعضی از آنها آمده است که دو حکم مادامی که استيذان نکنند حق امر به مفارقت را ندارند، اما مفهوم آن نيست که بدون استيذان حق امر به مصالحه را دارند، بلکه در برخی ديگر از اخبار آمده است که قبل از هر حکمی ـ چه حکم به مصالحه و چه حکم به فراق ـ حکم</w:t>
      </w:r>
      <w:r>
        <w:rPr>
          <w:rFonts w:cs="Abz-2 (Badr)"/>
          <w:sz w:val="28"/>
          <w:szCs w:val="28"/>
          <w:rtl/>
          <w:lang w:bidi="fa-IR"/>
        </w:rPr>
        <w:softHyphen/>
      </w:r>
      <w:r>
        <w:rPr>
          <w:rFonts w:cs="Abz-2 (Badr)" w:hint="cs"/>
          <w:sz w:val="28"/>
          <w:szCs w:val="28"/>
          <w:rtl/>
          <w:lang w:bidi="fa-IR"/>
        </w:rPr>
        <w:t>ها بايد استيذان نمايند.</w:t>
      </w:r>
    </w:p>
    <w:p w14:paraId="3FAFAA3D" w14:textId="77777777" w:rsidR="003142F1" w:rsidRPr="007B7AED" w:rsidRDefault="003142F1" w:rsidP="001524E3">
      <w:pPr>
        <w:pStyle w:val="NormalWeb"/>
        <w:widowControl w:val="0"/>
        <w:bidi/>
        <w:spacing w:before="0" w:beforeAutospacing="0" w:after="0" w:afterAutospacing="0" w:line="262" w:lineRule="auto"/>
        <w:ind w:firstLine="284"/>
        <w:jc w:val="both"/>
        <w:rPr>
          <w:rFonts w:cs="Abz-2 (Badr)"/>
          <w:color w:val="0070C0"/>
          <w:sz w:val="28"/>
          <w:szCs w:val="28"/>
          <w:rtl/>
          <w:lang w:bidi="fa-IR"/>
        </w:rPr>
      </w:pPr>
      <w:r>
        <w:rPr>
          <w:rFonts w:cs="Abz-2 (Badr)" w:hint="cs"/>
          <w:sz w:val="28"/>
          <w:szCs w:val="28"/>
          <w:rtl/>
          <w:lang w:bidi="fa-IR"/>
        </w:rPr>
        <w:t>اما از ابن براج در کتاب کامل نقل است که می</w:t>
      </w:r>
      <w:r>
        <w:rPr>
          <w:rFonts w:cs="Abz-2 (Badr)"/>
          <w:sz w:val="28"/>
          <w:szCs w:val="28"/>
          <w:rtl/>
          <w:lang w:bidi="fa-IR"/>
        </w:rPr>
        <w:softHyphen/>
      </w:r>
      <w:r>
        <w:rPr>
          <w:rFonts w:cs="Abz-2 (Badr)" w:hint="cs"/>
          <w:sz w:val="28"/>
          <w:szCs w:val="28"/>
          <w:rtl/>
          <w:lang w:bidi="fa-IR"/>
        </w:rPr>
        <w:t xml:space="preserve">فرمايد: </w:t>
      </w:r>
      <w:r w:rsidRPr="007B7AED">
        <w:rPr>
          <w:rFonts w:cs="Abz-2 (Badr)" w:hint="cs"/>
          <w:color w:val="0070C0"/>
          <w:sz w:val="28"/>
          <w:szCs w:val="28"/>
          <w:rtl/>
          <w:lang w:bidi="fa-IR"/>
        </w:rPr>
        <w:t>«إ</w:t>
      </w:r>
      <w:r w:rsidRPr="007B7AED">
        <w:rPr>
          <w:rFonts w:cs="Abz-2 (Badr)"/>
          <w:color w:val="0070C0"/>
          <w:sz w:val="28"/>
          <w:szCs w:val="28"/>
          <w:rtl/>
          <w:lang w:bidi="ar"/>
        </w:rPr>
        <w:t>ن</w:t>
      </w:r>
      <w:r w:rsidRPr="007B7AED">
        <w:rPr>
          <w:rFonts w:cs="Abz-2 (Badr)" w:hint="cs"/>
          <w:color w:val="0070C0"/>
          <w:sz w:val="28"/>
          <w:szCs w:val="28"/>
          <w:rtl/>
          <w:lang w:bidi="ar"/>
        </w:rPr>
        <w:t>ّ</w:t>
      </w:r>
      <w:r w:rsidRPr="007B7AED">
        <w:rPr>
          <w:rFonts w:cs="Abz-2 (Badr)"/>
          <w:color w:val="0070C0"/>
          <w:sz w:val="28"/>
          <w:szCs w:val="28"/>
          <w:rtl/>
          <w:lang w:bidi="ar"/>
        </w:rPr>
        <w:t xml:space="preserve"> بعثهما على سبيل التوكيل، لأن</w:t>
      </w:r>
      <w:r w:rsidRPr="007B7AED">
        <w:rPr>
          <w:rFonts w:cs="Abz-2 (Badr)" w:hint="cs"/>
          <w:color w:val="0070C0"/>
          <w:sz w:val="28"/>
          <w:szCs w:val="28"/>
          <w:rtl/>
          <w:lang w:bidi="ar"/>
        </w:rPr>
        <w:t>ّ</w:t>
      </w:r>
      <w:r w:rsidRPr="007B7AED">
        <w:rPr>
          <w:rFonts w:cs="Abz-2 (Badr)"/>
          <w:color w:val="0070C0"/>
          <w:sz w:val="28"/>
          <w:szCs w:val="28"/>
          <w:rtl/>
          <w:lang w:bidi="ar"/>
        </w:rPr>
        <w:t xml:space="preserve"> البضع حق</w:t>
      </w:r>
      <w:r w:rsidRPr="007B7AED">
        <w:rPr>
          <w:rFonts w:cs="Abz-2 (Badr)" w:hint="cs"/>
          <w:color w:val="0070C0"/>
          <w:sz w:val="28"/>
          <w:szCs w:val="28"/>
          <w:rtl/>
          <w:lang w:bidi="ar"/>
        </w:rPr>
        <w:t>ّ</w:t>
      </w:r>
      <w:r w:rsidRPr="007B7AED">
        <w:rPr>
          <w:rFonts w:cs="Abz-2 (Badr)"/>
          <w:color w:val="0070C0"/>
          <w:sz w:val="28"/>
          <w:szCs w:val="28"/>
          <w:rtl/>
          <w:lang w:bidi="ar"/>
        </w:rPr>
        <w:t xml:space="preserve"> الزوج والمال حق</w:t>
      </w:r>
      <w:r w:rsidRPr="007B7AED">
        <w:rPr>
          <w:rFonts w:cs="Abz-2 (Badr)" w:hint="cs"/>
          <w:color w:val="0070C0"/>
          <w:sz w:val="28"/>
          <w:szCs w:val="28"/>
          <w:rtl/>
          <w:lang w:bidi="ar"/>
        </w:rPr>
        <w:t>ّ</w:t>
      </w:r>
      <w:r w:rsidRPr="007B7AED">
        <w:rPr>
          <w:rFonts w:cs="Abz-2 (Badr)"/>
          <w:color w:val="0070C0"/>
          <w:sz w:val="28"/>
          <w:szCs w:val="28"/>
          <w:rtl/>
          <w:lang w:bidi="ar"/>
        </w:rPr>
        <w:t xml:space="preserve"> المرأة، فليس لأحد الحكمين </w:t>
      </w:r>
      <w:r w:rsidRPr="007B7AED">
        <w:rPr>
          <w:rFonts w:cs="Abz-2 (Badr)" w:hint="cs"/>
          <w:color w:val="0070C0"/>
          <w:sz w:val="28"/>
          <w:szCs w:val="28"/>
          <w:rtl/>
          <w:lang w:bidi="ar"/>
        </w:rPr>
        <w:t>أ</w:t>
      </w:r>
      <w:r w:rsidRPr="007B7AED">
        <w:rPr>
          <w:rFonts w:cs="Abz-2 (Badr)"/>
          <w:color w:val="0070C0"/>
          <w:sz w:val="28"/>
          <w:szCs w:val="28"/>
          <w:rtl/>
          <w:lang w:bidi="ar"/>
        </w:rPr>
        <w:t>ن يتصر</w:t>
      </w:r>
      <w:r w:rsidRPr="007B7AED">
        <w:rPr>
          <w:rFonts w:cs="Abz-2 (Badr)" w:hint="cs"/>
          <w:color w:val="0070C0"/>
          <w:sz w:val="28"/>
          <w:szCs w:val="28"/>
          <w:rtl/>
          <w:lang w:bidi="ar"/>
        </w:rPr>
        <w:t>ّ</w:t>
      </w:r>
      <w:r w:rsidRPr="007B7AED">
        <w:rPr>
          <w:rFonts w:cs="Abz-2 (Badr)"/>
          <w:color w:val="0070C0"/>
          <w:sz w:val="28"/>
          <w:szCs w:val="28"/>
          <w:rtl/>
          <w:lang w:bidi="ar"/>
        </w:rPr>
        <w:t xml:space="preserve">ف فيه </w:t>
      </w:r>
      <w:r w:rsidRPr="007B7AED">
        <w:rPr>
          <w:rFonts w:cs="Abz-2 (Badr)" w:hint="cs"/>
          <w:color w:val="0070C0"/>
          <w:sz w:val="28"/>
          <w:szCs w:val="28"/>
          <w:rtl/>
          <w:lang w:bidi="ar"/>
        </w:rPr>
        <w:t>إ</w:t>
      </w:r>
      <w:r w:rsidRPr="007B7AED">
        <w:rPr>
          <w:rFonts w:cs="Abz-2 (Badr)"/>
          <w:color w:val="0070C0"/>
          <w:sz w:val="28"/>
          <w:szCs w:val="28"/>
          <w:rtl/>
          <w:lang w:bidi="ar"/>
        </w:rPr>
        <w:t xml:space="preserve">لا بولاية عليهما أو وكالة عنهما، وهما رشيدان، فلم يكونا </w:t>
      </w:r>
      <w:r w:rsidRPr="007B7AED">
        <w:rPr>
          <w:rFonts w:cs="Abz-2 (Badr)" w:hint="cs"/>
          <w:color w:val="0070C0"/>
          <w:sz w:val="28"/>
          <w:szCs w:val="28"/>
          <w:rtl/>
          <w:lang w:bidi="ar"/>
        </w:rPr>
        <w:t>إ</w:t>
      </w:r>
      <w:r w:rsidRPr="007B7AED">
        <w:rPr>
          <w:rFonts w:cs="Abz-2 (Badr)"/>
          <w:color w:val="0070C0"/>
          <w:sz w:val="28"/>
          <w:szCs w:val="28"/>
          <w:rtl/>
          <w:lang w:bidi="ar"/>
        </w:rPr>
        <w:t>لا وكيلين</w:t>
      </w:r>
      <w:r w:rsidRPr="007B7AED">
        <w:rPr>
          <w:rFonts w:cs="Abz-2 (Badr)" w:hint="cs"/>
          <w:color w:val="0070C0"/>
          <w:sz w:val="28"/>
          <w:szCs w:val="28"/>
          <w:rtl/>
          <w:lang w:bidi="ar"/>
        </w:rPr>
        <w:t>.»</w:t>
      </w:r>
      <w:r w:rsidRPr="009F6447">
        <w:rPr>
          <w:rFonts w:cs="Abz-2 (Badr)"/>
          <w:sz w:val="28"/>
          <w:szCs w:val="28"/>
          <w:vertAlign w:val="superscript"/>
          <w:rtl/>
          <w:lang w:bidi="fa-IR"/>
        </w:rPr>
        <w:footnoteReference w:id="3"/>
      </w:r>
    </w:p>
    <w:p w14:paraId="5122B5CF"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البته در مهذب به مانند مدعای شيخ در مبسوط ادعا کرده‎اند که حکم حکم</w:t>
      </w:r>
      <w:r>
        <w:rPr>
          <w:rFonts w:cs="Abz-2 (Badr)"/>
          <w:sz w:val="28"/>
          <w:szCs w:val="28"/>
          <w:rtl/>
          <w:lang w:bidi="fa-IR"/>
        </w:rPr>
        <w:softHyphen/>
      </w:r>
      <w:r>
        <w:rPr>
          <w:rFonts w:cs="Abz-2 (Badr)" w:hint="cs"/>
          <w:sz w:val="28"/>
          <w:szCs w:val="28"/>
          <w:rtl/>
          <w:lang w:bidi="fa-IR"/>
        </w:rPr>
        <w:t>ها از باب تحکيم است.</w:t>
      </w:r>
      <w:r w:rsidRPr="009F6447">
        <w:rPr>
          <w:rFonts w:cs="Abz-2 (Badr)"/>
          <w:sz w:val="28"/>
          <w:szCs w:val="28"/>
          <w:vertAlign w:val="superscript"/>
          <w:rtl/>
          <w:lang w:bidi="fa-IR"/>
        </w:rPr>
        <w:footnoteReference w:id="4"/>
      </w:r>
    </w:p>
    <w:p w14:paraId="3BA5A343" w14:textId="77777777" w:rsidR="003142F1" w:rsidRDefault="003142F1" w:rsidP="001524E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پاسخ مدعای ايشان در کتاب کامل نيز با توجه به آنچه که گذشت معلوم می</w:t>
      </w:r>
      <w:r>
        <w:rPr>
          <w:rFonts w:cs="Abz-2 (Badr)"/>
          <w:sz w:val="28"/>
          <w:szCs w:val="28"/>
          <w:rtl/>
          <w:lang w:bidi="fa-IR"/>
        </w:rPr>
        <w:softHyphen/>
      </w:r>
      <w:r>
        <w:rPr>
          <w:rFonts w:cs="Abz-2 (Badr)" w:hint="cs"/>
          <w:sz w:val="28"/>
          <w:szCs w:val="28"/>
          <w:rtl/>
          <w:lang w:bidi="fa-IR"/>
        </w:rPr>
        <w:t>شود، زيرا بعد از استيذان حکم</w:t>
      </w:r>
      <w:r>
        <w:rPr>
          <w:rFonts w:cs="Abz-2 (Badr)"/>
          <w:sz w:val="28"/>
          <w:szCs w:val="28"/>
          <w:rtl/>
          <w:lang w:bidi="fa-IR"/>
        </w:rPr>
        <w:softHyphen/>
      </w:r>
      <w:r>
        <w:rPr>
          <w:rFonts w:cs="Abz-2 (Badr)" w:hint="cs"/>
          <w:sz w:val="28"/>
          <w:szCs w:val="28"/>
          <w:rtl/>
          <w:lang w:bidi="fa-IR"/>
        </w:rPr>
        <w:t>ها از زوجين برای حکم و جريان قواعد تحکيم، وجهی برای عدم جواز حکم آنها بر له يا عليه زوجين وجود ندارد.</w:t>
      </w:r>
    </w:p>
    <w:p w14:paraId="70B676BE" w14:textId="298886EB" w:rsidR="00AA77A6" w:rsidRPr="00355FDE" w:rsidRDefault="003142F1" w:rsidP="001B7873">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lastRenderedPageBreak/>
        <w:t>در نتيجه معلوم شد که چون بعد از استيذان، حکم</w:t>
      </w:r>
      <w:r>
        <w:rPr>
          <w:rFonts w:cs="Abz-2 (Badr)"/>
          <w:sz w:val="28"/>
          <w:szCs w:val="28"/>
          <w:rtl/>
          <w:lang w:bidi="fa-IR"/>
        </w:rPr>
        <w:softHyphen/>
      </w:r>
      <w:r>
        <w:rPr>
          <w:rFonts w:cs="Abz-2 (Badr)" w:hint="cs"/>
          <w:sz w:val="28"/>
          <w:szCs w:val="28"/>
          <w:rtl/>
          <w:lang w:bidi="fa-IR"/>
        </w:rPr>
        <w:t>ها به عنوان قاضی تحکيم از جانب زوجين تعيين می</w:t>
      </w:r>
      <w:r>
        <w:rPr>
          <w:rFonts w:cs="Abz-2 (Badr)"/>
          <w:sz w:val="28"/>
          <w:szCs w:val="28"/>
          <w:rtl/>
          <w:lang w:bidi="fa-IR"/>
        </w:rPr>
        <w:softHyphen/>
      </w:r>
      <w:r>
        <w:rPr>
          <w:rFonts w:cs="Abz-2 (Badr)" w:hint="cs"/>
          <w:sz w:val="28"/>
          <w:szCs w:val="28"/>
          <w:rtl/>
          <w:lang w:bidi="fa-IR"/>
        </w:rPr>
        <w:t>شوند، بعث آنها از باب تحکيم است نه از باب وکالت</w:t>
      </w:r>
      <w:r w:rsidR="001B7873">
        <w:rPr>
          <w:rFonts w:cs="Abz-2 (Badr)" w:hint="cs"/>
          <w:sz w:val="28"/>
          <w:szCs w:val="28"/>
          <w:rtl/>
          <w:lang w:bidi="fa-IR"/>
        </w:rPr>
        <w:t xml:space="preserve">، </w:t>
      </w:r>
      <w:bookmarkStart w:id="1" w:name="_Hlk183507677"/>
      <w:r w:rsidR="001B7873">
        <w:rPr>
          <w:rFonts w:cs="Abz-2 (Badr)" w:hint="cs"/>
          <w:sz w:val="28"/>
          <w:szCs w:val="28"/>
          <w:rtl/>
          <w:lang w:bidi="fa-IR"/>
        </w:rPr>
        <w:t>بلکه اساساً معنا ندارد که وکيل از باب وکالت له يا عليه موکل حکم کند و حکم او بر موکل نافذ باشد، بلکه وکيل می</w:t>
      </w:r>
      <w:r w:rsidR="001B7873">
        <w:rPr>
          <w:rFonts w:cs="Abz-2 (Badr)"/>
          <w:sz w:val="28"/>
          <w:szCs w:val="28"/>
          <w:rtl/>
          <w:lang w:bidi="fa-IR"/>
        </w:rPr>
        <w:softHyphen/>
      </w:r>
      <w:r w:rsidR="001B7873">
        <w:rPr>
          <w:rFonts w:cs="Abz-2 (Badr)" w:hint="cs"/>
          <w:sz w:val="28"/>
          <w:szCs w:val="28"/>
          <w:rtl/>
          <w:lang w:bidi="fa-IR"/>
        </w:rPr>
        <w:t>تواند از جانب موکل فعلی را انجام دهد و در اين عمل لازم است که غبطه موکل را ملا حظه نمايد.</w:t>
      </w:r>
    </w:p>
    <w:bookmarkEnd w:id="1"/>
    <w:p w14:paraId="45E7F2B1" w14:textId="11506007" w:rsidR="005545A6" w:rsidRPr="00355FDE" w:rsidRDefault="005545A6" w:rsidP="001524E3">
      <w:pPr>
        <w:pStyle w:val="NormalWeb"/>
        <w:widowControl w:val="0"/>
        <w:bidi/>
        <w:spacing w:before="0" w:beforeAutospacing="0" w:after="0" w:afterAutospacing="0" w:line="259" w:lineRule="auto"/>
        <w:ind w:firstLine="284"/>
        <w:jc w:val="both"/>
        <w:rPr>
          <w:rFonts w:cs="Abz-2 (Badr)"/>
          <w:sz w:val="28"/>
          <w:szCs w:val="28"/>
          <w:rtl/>
          <w:lang w:bidi="fa-IR"/>
        </w:rPr>
      </w:pPr>
    </w:p>
    <w:sectPr w:rsidR="005545A6" w:rsidRPr="00355FDE" w:rsidSect="0064376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3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6364" w14:textId="77777777" w:rsidR="00A8286E" w:rsidRDefault="00A8286E" w:rsidP="00F71127">
      <w:pPr>
        <w:spacing w:after="0" w:line="240" w:lineRule="auto"/>
      </w:pPr>
      <w:r>
        <w:separator/>
      </w:r>
    </w:p>
  </w:endnote>
  <w:endnote w:type="continuationSeparator" w:id="0">
    <w:p w14:paraId="50D83268" w14:textId="77777777" w:rsidR="00A8286E" w:rsidRDefault="00A8286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8155" w14:textId="77777777" w:rsidR="00643765" w:rsidRDefault="006437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B216" w14:textId="77777777" w:rsidR="00643765" w:rsidRDefault="00643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90E19" w14:textId="77777777" w:rsidR="00A8286E" w:rsidRDefault="00A8286E" w:rsidP="00EE25C0">
      <w:pPr>
        <w:bidi/>
        <w:spacing w:after="0" w:line="240" w:lineRule="auto"/>
      </w:pPr>
      <w:r>
        <w:separator/>
      </w:r>
    </w:p>
  </w:footnote>
  <w:footnote w:type="continuationSeparator" w:id="0">
    <w:p w14:paraId="5D243D00" w14:textId="77777777" w:rsidR="00A8286E" w:rsidRDefault="00A8286E" w:rsidP="00F71127">
      <w:pPr>
        <w:bidi/>
        <w:spacing w:after="0" w:line="240" w:lineRule="auto"/>
      </w:pPr>
      <w:r>
        <w:continuationSeparator/>
      </w:r>
    </w:p>
  </w:footnote>
  <w:footnote w:id="1">
    <w:p w14:paraId="5380A483" w14:textId="77777777" w:rsidR="003142F1" w:rsidRPr="009F6447" w:rsidRDefault="003142F1" w:rsidP="003142F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جواهر،ج31،ص213.</w:t>
      </w:r>
    </w:p>
  </w:footnote>
  <w:footnote w:id="2">
    <w:p w14:paraId="093429BB" w14:textId="77777777" w:rsidR="003142F1" w:rsidRPr="009F6447" w:rsidRDefault="003142F1" w:rsidP="003142F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مبسوط،ج4،ص340.</w:t>
      </w:r>
    </w:p>
  </w:footnote>
  <w:footnote w:id="3">
    <w:p w14:paraId="3131B33E" w14:textId="77777777" w:rsidR="003142F1" w:rsidRPr="009F6447" w:rsidRDefault="003142F1" w:rsidP="003142F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غاية المرام،ج3،ص169.</w:t>
      </w:r>
    </w:p>
  </w:footnote>
  <w:footnote w:id="4">
    <w:p w14:paraId="5AB60FDD" w14:textId="77777777" w:rsidR="003142F1" w:rsidRPr="009F6447" w:rsidRDefault="003142F1" w:rsidP="003142F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مهذّب،ج2،ص266.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4B69" w14:textId="77777777" w:rsidR="00643765" w:rsidRDefault="00643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DCA4" w14:textId="0C75B745" w:rsidR="00643765" w:rsidRDefault="00643765">
    <w:pPr>
      <w:pStyle w:val="Header"/>
    </w:pPr>
    <w:r>
      <w:rPr>
        <w:noProof/>
      </w:rPr>
      <mc:AlternateContent>
        <mc:Choice Requires="wps">
          <w:drawing>
            <wp:anchor distT="45720" distB="45720" distL="114300" distR="114300" simplePos="0" relativeHeight="251661312" behindDoc="0" locked="0" layoutInCell="1" allowOverlap="1" wp14:anchorId="1B0478E2" wp14:editId="79E54043">
              <wp:simplePos x="0" y="0"/>
              <wp:positionH relativeFrom="column">
                <wp:posOffset>2094230</wp:posOffset>
              </wp:positionH>
              <wp:positionV relativeFrom="paragraph">
                <wp:posOffset>312420</wp:posOffset>
              </wp:positionV>
              <wp:extent cx="3676650" cy="15544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554480"/>
                      </a:xfrm>
                      <a:prstGeom prst="rect">
                        <a:avLst/>
                      </a:prstGeom>
                      <a:solidFill>
                        <a:srgbClr val="FFFFFF"/>
                      </a:solidFill>
                      <a:ln w="9525">
                        <a:noFill/>
                        <a:miter lim="800000"/>
                        <a:headEnd/>
                        <a:tailEnd/>
                      </a:ln>
                    </wps:spPr>
                    <wps:txbx>
                      <w:txbxContent>
                        <w:p w14:paraId="4A66DAFB" w14:textId="77777777" w:rsidR="00643765" w:rsidRDefault="00643765" w:rsidP="00643765">
                          <w:pPr>
                            <w:bidi/>
                            <w:rPr>
                              <w:rFonts w:cs="B Mehr"/>
                            </w:rPr>
                          </w:pPr>
                          <w:r>
                            <w:rPr>
                              <w:rFonts w:hint="cs"/>
                              <w:rtl/>
                            </w:rPr>
                            <w:t xml:space="preserve"> </w:t>
                          </w:r>
                          <w:r>
                            <w:rPr>
                              <w:rFonts w:cs="B Mehr" w:hint="cs"/>
                              <w:rtl/>
                            </w:rPr>
                            <w:t>تقریر درس خارج فقه،  استاد حاج سید علی موسوی اردبیلی</w:t>
                          </w:r>
                          <w:r>
                            <w:rPr>
                              <w:rFonts w:cs="B Mehr" w:hint="cs"/>
                            </w:rPr>
                            <w:t xml:space="preserve"> </w:t>
                          </w:r>
                        </w:p>
                        <w:p w14:paraId="66EBB8D5" w14:textId="77777777" w:rsidR="00643765" w:rsidRDefault="00643765" w:rsidP="00643765">
                          <w:pPr>
                            <w:jc w:val="right"/>
                            <w:rPr>
                              <w:rFonts w:cs="B Mehr"/>
                            </w:rPr>
                          </w:pPr>
                          <w:r>
                            <w:rPr>
                              <w:rFonts w:cs="B Mehr" w:hint="cs"/>
                              <w:rtl/>
                            </w:rPr>
                            <w:t xml:space="preserve">مبحث: قسم ، نشوز ، شقاق/   </w:t>
                          </w:r>
                        </w:p>
                        <w:p w14:paraId="7C1EA18F" w14:textId="02B36E6A" w:rsidR="00643765" w:rsidRDefault="00643765" w:rsidP="0064376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آذر  ماه - 1403ه.ش</w:t>
                          </w:r>
                        </w:p>
                        <w:p w14:paraId="3E28F784" w14:textId="77777777" w:rsidR="00643765" w:rsidRDefault="00643765" w:rsidP="00643765"/>
                        <w:p w14:paraId="44AC5380" w14:textId="77777777" w:rsidR="00643765" w:rsidRDefault="00643765" w:rsidP="00643765"/>
                        <w:p w14:paraId="220C3975" w14:textId="77777777" w:rsidR="00643765" w:rsidRDefault="00643765" w:rsidP="00643765"/>
                        <w:p w14:paraId="4A04FCD1" w14:textId="77777777" w:rsidR="00643765" w:rsidRDefault="00643765" w:rsidP="00643765"/>
                        <w:p w14:paraId="3C63CA6C" w14:textId="77777777" w:rsidR="00643765" w:rsidRDefault="00643765" w:rsidP="00643765"/>
                        <w:p w14:paraId="5B596BAC" w14:textId="77777777" w:rsidR="00643765" w:rsidRDefault="00643765" w:rsidP="00643765"/>
                        <w:p w14:paraId="1084888B" w14:textId="77777777" w:rsidR="00643765" w:rsidRDefault="00643765" w:rsidP="00643765"/>
                        <w:p w14:paraId="4776F4EB" w14:textId="77777777" w:rsidR="00643765" w:rsidRDefault="00643765" w:rsidP="00643765"/>
                        <w:p w14:paraId="399EAC98" w14:textId="77777777" w:rsidR="00643765" w:rsidRDefault="00643765" w:rsidP="00643765"/>
                        <w:p w14:paraId="1750192A" w14:textId="77777777" w:rsidR="00643765" w:rsidRDefault="00643765" w:rsidP="00643765"/>
                        <w:p w14:paraId="76E220D8" w14:textId="77777777" w:rsidR="00643765" w:rsidRDefault="00643765" w:rsidP="00643765"/>
                        <w:p w14:paraId="5C12EE56" w14:textId="77777777" w:rsidR="00643765" w:rsidRDefault="00643765" w:rsidP="00643765"/>
                        <w:p w14:paraId="5D4E3A6C" w14:textId="77777777" w:rsidR="00643765" w:rsidRDefault="00643765" w:rsidP="00643765"/>
                        <w:p w14:paraId="19F77CCD" w14:textId="1D2431A1" w:rsidR="00643765" w:rsidRDefault="006437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478E2" id="_x0000_t202" coordsize="21600,21600" o:spt="202" path="m,l,21600r21600,l21600,xe">
              <v:stroke joinstyle="miter"/>
              <v:path gradientshapeok="t" o:connecttype="rect"/>
            </v:shapetype>
            <v:shape id="Text Box 2" o:spid="_x0000_s1026" type="#_x0000_t202" style="position:absolute;margin-left:164.9pt;margin-top:24.6pt;width:289.5pt;height:12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30dDgIAAPcDAAAOAAAAZHJzL2Uyb0RvYy54bWysU9tu2zAMfR+wfxD0vjjJ4jQ14hRdugwD&#10;ugvQ7QNkWY6FyaJGKbG7ry8lp2nQvQ3Tg0CK1BF5eLS+GTrDjgq9Blvy2WTKmbISam33Jf/5Y/du&#10;xZkPwtbCgFUlf1Se32zevln3rlBzaMHUChmBWF/0ruRtCK7IMi9b1Qk/AacsBRvATgRycZ/VKHpC&#10;70w2n06XWQ9YOwSpvKfTuzHINwm/aZQM35rGq8BMyam2kHZMexX3bLMWxR6Fa7U8lSH+oYpOaEuP&#10;nqHuRBDsgPovqE5LBA9NmEjoMmgaLVXqgbqZTV9189AKp1IvRI53Z5r8/4OVX48P7juyMHyAgQaY&#10;mvDuHuQvzyxsW2H36hYR+laJmh6eRcqy3vnidDVS7QsfQar+C9Q0ZHEIkICGBrvICvXJCJ0G8Hgm&#10;XQ2BSTp8v7xaLnMKSYrN8nyxWKWxZKJ4vu7Qh08KOhaNkiNNNcGL470PsRxRPKfE1zwYXe+0McnB&#10;fbU1yI6CFLBLK3XwKs1Y1pf8Op/nCdlCvJ/E0elACjW6K/lqGteomUjHR1unlCC0GW2qxNgTP5GS&#10;kZwwVAMlRp4qqB+JKYRRifRzyGgB/3DWkwpL7n8fBCrOzGdLbF/PFoso2+Qs8qs5OXgZqS4jwkqC&#10;KnngbDS3IUk98mDhlqbS6MTXSyWnWkldicbTT4jyvfRT1st/3TwBAAD//wMAUEsDBBQABgAIAAAA&#10;IQAqx1Ej3wAAAAoBAAAPAAAAZHJzL2Rvd25yZXYueG1sTI/BTsMwEETvSPyDtUhcEHUIoa3TbCpA&#10;AnFt6Qc48TaJGttR7Dbp37Oc4Lizo5k3xXa2vbjQGDrvEJ4WCQhytTedaxAO3x+PaxAhamd07x0h&#10;XCnAtry9KXRu/OR2dNnHRnCIC7lGaGMccilD3ZLVYeEHcvw7+tHqyOfYSDPqicNtL9MkWUqrO8cN&#10;rR7ovaX6tD9bhOPX9PCipuozHla7bPmmu1Xlr4j3d/PrBkSkOf6Z4Ref0aFkpsqfnQmiR3hOFaNH&#10;hEylINigkjULFUKqsgRkWcj/E8ofAAAA//8DAFBLAQItABQABgAIAAAAIQC2gziS/gAAAOEBAAAT&#10;AAAAAAAAAAAAAAAAAAAAAABbQ29udGVudF9UeXBlc10ueG1sUEsBAi0AFAAGAAgAAAAhADj9If/W&#10;AAAAlAEAAAsAAAAAAAAAAAAAAAAALwEAAF9yZWxzLy5yZWxzUEsBAi0AFAAGAAgAAAAhAN3nfR0O&#10;AgAA9wMAAA4AAAAAAAAAAAAAAAAALgIAAGRycy9lMm9Eb2MueG1sUEsBAi0AFAAGAAgAAAAhACrH&#10;USPfAAAACgEAAA8AAAAAAAAAAAAAAAAAaAQAAGRycy9kb3ducmV2LnhtbFBLBQYAAAAABAAEAPMA&#10;AAB0BQAAAAA=&#10;" stroked="f">
              <v:textbox>
                <w:txbxContent>
                  <w:p w14:paraId="4A66DAFB" w14:textId="77777777" w:rsidR="00643765" w:rsidRDefault="00643765" w:rsidP="00643765">
                    <w:pPr>
                      <w:bidi/>
                      <w:rPr>
                        <w:rFonts w:cs="B Mehr"/>
                      </w:rPr>
                    </w:pPr>
                    <w:r>
                      <w:rPr>
                        <w:rFonts w:hint="cs"/>
                        <w:rtl/>
                      </w:rPr>
                      <w:t xml:space="preserve"> </w:t>
                    </w:r>
                    <w:r>
                      <w:rPr>
                        <w:rFonts w:cs="B Mehr" w:hint="cs"/>
                        <w:rtl/>
                      </w:rPr>
                      <w:t>تقریر درس خارج فقه،  استاد حاج سید علی موسوی اردبیلی</w:t>
                    </w:r>
                    <w:r>
                      <w:rPr>
                        <w:rFonts w:cs="B Mehr" w:hint="cs"/>
                      </w:rPr>
                      <w:t xml:space="preserve"> </w:t>
                    </w:r>
                  </w:p>
                  <w:p w14:paraId="66EBB8D5" w14:textId="77777777" w:rsidR="00643765" w:rsidRDefault="00643765" w:rsidP="00643765">
                    <w:pPr>
                      <w:jc w:val="right"/>
                      <w:rPr>
                        <w:rFonts w:cs="B Mehr"/>
                      </w:rPr>
                    </w:pPr>
                    <w:r>
                      <w:rPr>
                        <w:rFonts w:cs="B Mehr" w:hint="cs"/>
                        <w:rtl/>
                      </w:rPr>
                      <w:t xml:space="preserve">مبحث: قسم ، نشوز ، شقاق/   </w:t>
                    </w:r>
                  </w:p>
                  <w:p w14:paraId="7C1EA18F" w14:textId="02B36E6A" w:rsidR="00643765" w:rsidRDefault="00643765" w:rsidP="0064376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 شنبه </w:t>
                    </w:r>
                    <w:r>
                      <w:rPr>
                        <w:rFonts w:cs="B Mehr" w:hint="cs"/>
                        <w:rtl/>
                      </w:rPr>
                      <w:t xml:space="preserve">،   </w:t>
                    </w:r>
                    <w:r>
                      <w:rPr>
                        <w:rFonts w:cs="B Mehr" w:hint="cs"/>
                        <w:rtl/>
                      </w:rPr>
                      <w:t>6</w:t>
                    </w:r>
                    <w:r>
                      <w:rPr>
                        <w:rFonts w:cs="B Mehr" w:hint="cs"/>
                        <w:rtl/>
                      </w:rPr>
                      <w:t xml:space="preserve">      آذر  ماه - 1403ه.ش</w:t>
                    </w:r>
                  </w:p>
                  <w:p w14:paraId="3E28F784" w14:textId="77777777" w:rsidR="00643765" w:rsidRDefault="00643765" w:rsidP="00643765"/>
                  <w:p w14:paraId="44AC5380" w14:textId="77777777" w:rsidR="00643765" w:rsidRDefault="00643765" w:rsidP="00643765"/>
                  <w:p w14:paraId="220C3975" w14:textId="77777777" w:rsidR="00643765" w:rsidRDefault="00643765" w:rsidP="00643765"/>
                  <w:p w14:paraId="4A04FCD1" w14:textId="77777777" w:rsidR="00643765" w:rsidRDefault="00643765" w:rsidP="00643765"/>
                  <w:p w14:paraId="3C63CA6C" w14:textId="77777777" w:rsidR="00643765" w:rsidRDefault="00643765" w:rsidP="00643765"/>
                  <w:p w14:paraId="5B596BAC" w14:textId="77777777" w:rsidR="00643765" w:rsidRDefault="00643765" w:rsidP="00643765"/>
                  <w:p w14:paraId="1084888B" w14:textId="77777777" w:rsidR="00643765" w:rsidRDefault="00643765" w:rsidP="00643765"/>
                  <w:p w14:paraId="4776F4EB" w14:textId="77777777" w:rsidR="00643765" w:rsidRDefault="00643765" w:rsidP="00643765"/>
                  <w:p w14:paraId="399EAC98" w14:textId="77777777" w:rsidR="00643765" w:rsidRDefault="00643765" w:rsidP="00643765"/>
                  <w:p w14:paraId="1750192A" w14:textId="77777777" w:rsidR="00643765" w:rsidRDefault="00643765" w:rsidP="00643765"/>
                  <w:p w14:paraId="76E220D8" w14:textId="77777777" w:rsidR="00643765" w:rsidRDefault="00643765" w:rsidP="00643765"/>
                  <w:p w14:paraId="5C12EE56" w14:textId="77777777" w:rsidR="00643765" w:rsidRDefault="00643765" w:rsidP="00643765"/>
                  <w:p w14:paraId="5D4E3A6C" w14:textId="77777777" w:rsidR="00643765" w:rsidRDefault="00643765" w:rsidP="00643765"/>
                  <w:p w14:paraId="19F77CCD" w14:textId="1D2431A1" w:rsidR="00643765" w:rsidRDefault="0064376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4ED949E" wp14:editId="796B33B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F4A1" w14:textId="77777777" w:rsidR="00643765" w:rsidRDefault="006437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765"/>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286E"/>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474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4696"/>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96CFF"/>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16739</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201</cp:revision>
  <cp:lastPrinted>2024-11-21T18:31:00Z</cp:lastPrinted>
  <dcterms:created xsi:type="dcterms:W3CDTF">2022-10-16T08:36:00Z</dcterms:created>
  <dcterms:modified xsi:type="dcterms:W3CDTF">2024-11-26T07:29:00Z</dcterms:modified>
</cp:coreProperties>
</file>